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51" w:rsidRDefault="00C37E8F" w:rsidP="00895B41">
      <w:pPr>
        <w:pStyle w:val="Titre1"/>
        <w:jc w:val="center"/>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5B41">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Comment gérer son indépendance financière</w:t>
      </w:r>
      <w:r w:rsidRPr="00895B41">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au grand âge</w:t>
      </w:r>
    </w:p>
    <w:p w:rsidR="00895B41" w:rsidRDefault="00895B41" w:rsidP="00EC7889">
      <w:pPr>
        <w:tabs>
          <w:tab w:val="left" w:pos="1739"/>
          <w:tab w:val="left" w:pos="3224"/>
        </w:tabs>
      </w:pPr>
      <w:r>
        <w:tab/>
      </w:r>
      <w:r w:rsidR="00EC7889">
        <w:tab/>
      </w:r>
    </w:p>
    <w:tbl>
      <w:tblPr>
        <w:tblStyle w:val="Grilledutableau"/>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6"/>
        <w:gridCol w:w="236"/>
        <w:gridCol w:w="4814"/>
      </w:tblGrid>
      <w:tr w:rsidR="00895B41" w:rsidRPr="009A53A5" w:rsidTr="00D82B24">
        <w:tc>
          <w:tcPr>
            <w:tcW w:w="4626" w:type="dxa"/>
          </w:tcPr>
          <w:p w:rsidR="00895B41" w:rsidRPr="007F6DA0" w:rsidRDefault="00895B41" w:rsidP="00895B41">
            <w:pPr>
              <w:jc w:val="center"/>
              <w:rPr>
                <w:b/>
                <w:i/>
                <w:sz w:val="32"/>
                <w:szCs w:val="32"/>
              </w:rPr>
            </w:pPr>
            <w:r w:rsidRPr="007F6DA0">
              <w:rPr>
                <w:b/>
                <w:i/>
                <w:sz w:val="32"/>
                <w:szCs w:val="32"/>
              </w:rPr>
              <w:t>Le</w:t>
            </w:r>
            <w:r w:rsidR="00D82005">
              <w:rPr>
                <w:b/>
                <w:i/>
                <w:sz w:val="32"/>
                <w:szCs w:val="32"/>
              </w:rPr>
              <w:t xml:space="preserve"> 20 </w:t>
            </w:r>
            <w:r w:rsidRPr="007F6DA0">
              <w:rPr>
                <w:b/>
                <w:i/>
                <w:sz w:val="32"/>
                <w:szCs w:val="32"/>
              </w:rPr>
              <w:t>Novembre 2018</w:t>
            </w:r>
            <w:r w:rsidR="00D82005">
              <w:rPr>
                <w:b/>
                <w:i/>
                <w:sz w:val="32"/>
                <w:szCs w:val="32"/>
              </w:rPr>
              <w:br/>
              <w:t>14h – 17</w:t>
            </w:r>
            <w:r w:rsidR="0077788D">
              <w:rPr>
                <w:b/>
                <w:i/>
                <w:sz w:val="32"/>
                <w:szCs w:val="32"/>
              </w:rPr>
              <w:t>h</w:t>
            </w:r>
          </w:p>
          <w:p w:rsidR="00895B41" w:rsidRPr="009A53A5" w:rsidRDefault="0033446D" w:rsidP="0033446D">
            <w:pPr>
              <w:tabs>
                <w:tab w:val="left" w:pos="1054"/>
                <w:tab w:val="center" w:pos="2160"/>
              </w:tabs>
              <w:rPr>
                <w:b/>
                <w:i/>
                <w:sz w:val="28"/>
                <w:szCs w:val="28"/>
              </w:rPr>
            </w:pPr>
            <w:r w:rsidRPr="009A53A5">
              <w:rPr>
                <w:b/>
                <w:i/>
                <w:sz w:val="28"/>
                <w:szCs w:val="28"/>
              </w:rPr>
              <w:tab/>
            </w:r>
            <w:r w:rsidRPr="009A53A5">
              <w:rPr>
                <w:b/>
                <w:i/>
                <w:sz w:val="28"/>
                <w:szCs w:val="28"/>
              </w:rPr>
              <w:tab/>
            </w:r>
            <w:r w:rsidR="00895B41" w:rsidRPr="009A53A5">
              <w:rPr>
                <w:b/>
                <w:i/>
                <w:sz w:val="28"/>
                <w:szCs w:val="28"/>
              </w:rPr>
              <w:t>-------</w:t>
            </w:r>
          </w:p>
          <w:p w:rsidR="00895B41" w:rsidRPr="009A53A5" w:rsidRDefault="00895B41" w:rsidP="00895B41">
            <w:pPr>
              <w:jc w:val="center"/>
              <w:rPr>
                <w:b/>
                <w:i/>
                <w:color w:val="365F91" w:themeColor="accent1" w:themeShade="BF"/>
                <w:sz w:val="40"/>
                <w:szCs w:val="32"/>
              </w:rPr>
            </w:pPr>
            <w:r w:rsidRPr="009A53A5">
              <w:rPr>
                <w:b/>
                <w:i/>
                <w:color w:val="365F91" w:themeColor="accent1" w:themeShade="BF"/>
                <w:sz w:val="40"/>
                <w:szCs w:val="32"/>
              </w:rPr>
              <w:t>SARZEAU</w:t>
            </w:r>
          </w:p>
          <w:p w:rsidR="00D82B24" w:rsidRDefault="00D82B24" w:rsidP="00895B41">
            <w:pPr>
              <w:jc w:val="center"/>
              <w:rPr>
                <w:i/>
                <w:sz w:val="28"/>
                <w:szCs w:val="28"/>
              </w:rPr>
            </w:pPr>
            <w:r>
              <w:rPr>
                <w:i/>
                <w:sz w:val="28"/>
                <w:szCs w:val="28"/>
              </w:rPr>
              <w:t>Salle Armorique</w:t>
            </w:r>
          </w:p>
          <w:p w:rsidR="00895B41" w:rsidRPr="009A53A5" w:rsidRDefault="00895B41" w:rsidP="00895B41">
            <w:pPr>
              <w:jc w:val="center"/>
              <w:rPr>
                <w:i/>
                <w:sz w:val="28"/>
                <w:szCs w:val="28"/>
              </w:rPr>
            </w:pPr>
            <w:r w:rsidRPr="009A53A5">
              <w:rPr>
                <w:i/>
                <w:sz w:val="28"/>
                <w:szCs w:val="28"/>
              </w:rPr>
              <w:t>Centre Culturel de l’Hermine</w:t>
            </w:r>
          </w:p>
          <w:p w:rsidR="00895B41" w:rsidRPr="009A53A5" w:rsidRDefault="005236DB" w:rsidP="00895B41">
            <w:pPr>
              <w:jc w:val="center"/>
              <w:rPr>
                <w:i/>
              </w:rPr>
            </w:pPr>
            <w:r w:rsidRPr="009A53A5">
              <w:rPr>
                <w:i/>
                <w:sz w:val="28"/>
                <w:szCs w:val="28"/>
              </w:rPr>
              <w:t>R</w:t>
            </w:r>
            <w:r w:rsidR="00895B41" w:rsidRPr="009A53A5">
              <w:rPr>
                <w:i/>
                <w:sz w:val="28"/>
                <w:szCs w:val="28"/>
              </w:rPr>
              <w:t>ue du Père CAUDRIN</w:t>
            </w:r>
          </w:p>
        </w:tc>
        <w:tc>
          <w:tcPr>
            <w:tcW w:w="236" w:type="dxa"/>
          </w:tcPr>
          <w:p w:rsidR="00895B41" w:rsidRPr="009A53A5" w:rsidRDefault="00895B41" w:rsidP="00895B41">
            <w:pPr>
              <w:rPr>
                <w:i/>
              </w:rPr>
            </w:pPr>
          </w:p>
        </w:tc>
        <w:tc>
          <w:tcPr>
            <w:tcW w:w="4814" w:type="dxa"/>
          </w:tcPr>
          <w:p w:rsidR="0033446D" w:rsidRDefault="0033446D" w:rsidP="0033446D">
            <w:pPr>
              <w:jc w:val="center"/>
              <w:rPr>
                <w:b/>
                <w:i/>
                <w:sz w:val="32"/>
                <w:szCs w:val="32"/>
              </w:rPr>
            </w:pPr>
            <w:r w:rsidRPr="007F6DA0">
              <w:rPr>
                <w:b/>
                <w:i/>
                <w:sz w:val="32"/>
                <w:szCs w:val="32"/>
              </w:rPr>
              <w:t>Le 22 Novembre 2018</w:t>
            </w:r>
          </w:p>
          <w:p w:rsidR="0077788D" w:rsidRPr="007F6DA0" w:rsidRDefault="00F21B69" w:rsidP="0033446D">
            <w:pPr>
              <w:jc w:val="center"/>
              <w:rPr>
                <w:b/>
                <w:i/>
                <w:sz w:val="32"/>
                <w:szCs w:val="32"/>
              </w:rPr>
            </w:pPr>
            <w:r>
              <w:rPr>
                <w:b/>
                <w:i/>
                <w:sz w:val="32"/>
                <w:szCs w:val="32"/>
              </w:rPr>
              <w:t>14h</w:t>
            </w:r>
            <w:r w:rsidR="0077788D">
              <w:rPr>
                <w:b/>
                <w:i/>
                <w:sz w:val="32"/>
                <w:szCs w:val="32"/>
              </w:rPr>
              <w:t xml:space="preserve"> </w:t>
            </w:r>
            <w:r>
              <w:rPr>
                <w:b/>
                <w:i/>
                <w:sz w:val="32"/>
                <w:szCs w:val="32"/>
              </w:rPr>
              <w:t>–</w:t>
            </w:r>
            <w:r w:rsidR="0077788D">
              <w:rPr>
                <w:b/>
                <w:i/>
                <w:sz w:val="32"/>
                <w:szCs w:val="32"/>
              </w:rPr>
              <w:t xml:space="preserve"> </w:t>
            </w:r>
            <w:r>
              <w:rPr>
                <w:b/>
                <w:i/>
                <w:sz w:val="32"/>
                <w:szCs w:val="32"/>
              </w:rPr>
              <w:t>17h</w:t>
            </w:r>
          </w:p>
          <w:p w:rsidR="0033446D" w:rsidRPr="009A53A5" w:rsidRDefault="0033446D" w:rsidP="0033446D">
            <w:pPr>
              <w:tabs>
                <w:tab w:val="left" w:pos="1054"/>
                <w:tab w:val="center" w:pos="2160"/>
              </w:tabs>
              <w:jc w:val="center"/>
              <w:rPr>
                <w:b/>
                <w:i/>
                <w:sz w:val="28"/>
                <w:szCs w:val="28"/>
              </w:rPr>
            </w:pPr>
            <w:r w:rsidRPr="009A53A5">
              <w:rPr>
                <w:b/>
                <w:i/>
                <w:sz w:val="28"/>
                <w:szCs w:val="28"/>
              </w:rPr>
              <w:t>-------</w:t>
            </w:r>
          </w:p>
          <w:p w:rsidR="0033446D" w:rsidRPr="009A53A5" w:rsidRDefault="0033446D" w:rsidP="0033446D">
            <w:pPr>
              <w:jc w:val="center"/>
              <w:rPr>
                <w:b/>
                <w:i/>
                <w:color w:val="365F91" w:themeColor="accent1" w:themeShade="BF"/>
                <w:sz w:val="40"/>
                <w:szCs w:val="32"/>
              </w:rPr>
            </w:pPr>
            <w:r w:rsidRPr="009A53A5">
              <w:rPr>
                <w:b/>
                <w:i/>
                <w:color w:val="365F91" w:themeColor="accent1" w:themeShade="BF"/>
                <w:sz w:val="40"/>
                <w:szCs w:val="32"/>
              </w:rPr>
              <w:t>VANNES</w:t>
            </w:r>
          </w:p>
          <w:p w:rsidR="0033446D" w:rsidRDefault="0033446D" w:rsidP="0033446D">
            <w:pPr>
              <w:jc w:val="center"/>
              <w:rPr>
                <w:rFonts w:ascii="Calibri" w:hAnsi="Calibri" w:cs="Calibri"/>
                <w:i/>
                <w:sz w:val="28"/>
                <w:szCs w:val="28"/>
              </w:rPr>
            </w:pPr>
            <w:r w:rsidRPr="007F6DA0">
              <w:rPr>
                <w:rFonts w:ascii="Calibri" w:hAnsi="Calibri" w:cs="Calibri"/>
                <w:i/>
                <w:sz w:val="28"/>
                <w:szCs w:val="28"/>
              </w:rPr>
              <w:t>Maison des Associations</w:t>
            </w:r>
          </w:p>
          <w:p w:rsidR="00D82B24" w:rsidRPr="007F6DA0" w:rsidRDefault="00D82B24" w:rsidP="0033446D">
            <w:pPr>
              <w:jc w:val="center"/>
              <w:rPr>
                <w:rFonts w:ascii="Calibri" w:hAnsi="Calibri" w:cs="Calibri"/>
                <w:i/>
                <w:sz w:val="28"/>
                <w:szCs w:val="28"/>
              </w:rPr>
            </w:pPr>
          </w:p>
          <w:p w:rsidR="00895B41" w:rsidRPr="009A53A5" w:rsidRDefault="005236DB" w:rsidP="0033446D">
            <w:pPr>
              <w:jc w:val="center"/>
              <w:rPr>
                <w:i/>
              </w:rPr>
            </w:pPr>
            <w:r w:rsidRPr="007F6DA0">
              <w:rPr>
                <w:rFonts w:ascii="Calibri" w:hAnsi="Calibri" w:cs="Calibri"/>
                <w:i/>
                <w:color w:val="222222"/>
                <w:sz w:val="28"/>
                <w:szCs w:val="28"/>
                <w:shd w:val="clear" w:color="auto" w:fill="FFFFFF"/>
              </w:rPr>
              <w:t>31 Rue Guillaume le Bartz</w:t>
            </w:r>
          </w:p>
        </w:tc>
      </w:tr>
    </w:tbl>
    <w:p w:rsidR="00436F48" w:rsidRDefault="00436F48" w:rsidP="00895B41"/>
    <w:tbl>
      <w:tblPr>
        <w:tblStyle w:val="Grilledutableau"/>
        <w:tblW w:w="0" w:type="auto"/>
        <w:tblBorders>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insideH w:val="single" w:sz="24" w:space="0" w:color="365F91" w:themeColor="accent1" w:themeShade="BF"/>
          <w:insideV w:val="single" w:sz="24" w:space="0" w:color="365F91" w:themeColor="accent1" w:themeShade="BF"/>
        </w:tblBorders>
        <w:tblLook w:val="04A0" w:firstRow="1" w:lastRow="0" w:firstColumn="1" w:lastColumn="0" w:noHBand="0" w:noVBand="1"/>
      </w:tblPr>
      <w:tblGrid>
        <w:gridCol w:w="9212"/>
      </w:tblGrid>
      <w:tr w:rsidR="00436F48" w:rsidTr="009A53A5">
        <w:tc>
          <w:tcPr>
            <w:tcW w:w="9212" w:type="dxa"/>
          </w:tcPr>
          <w:p w:rsidR="00436F48" w:rsidRPr="009A53A5" w:rsidRDefault="009A53A5" w:rsidP="00436F48">
            <w:pPr>
              <w:jc w:val="center"/>
              <w:rPr>
                <w:b/>
                <w:i/>
                <w:sz w:val="36"/>
                <w:szCs w:val="36"/>
              </w:rPr>
            </w:pPr>
            <w:r>
              <w:rPr>
                <w:b/>
                <w:i/>
                <w:sz w:val="36"/>
                <w:szCs w:val="36"/>
              </w:rPr>
              <w:sym w:font="Wingdings 2" w:char="F0DD"/>
            </w:r>
            <w:r>
              <w:rPr>
                <w:b/>
                <w:i/>
                <w:sz w:val="36"/>
                <w:szCs w:val="36"/>
              </w:rPr>
              <w:t xml:space="preserve"> </w:t>
            </w:r>
            <w:r w:rsidR="00436F48" w:rsidRPr="009A53A5">
              <w:rPr>
                <w:b/>
                <w:i/>
                <w:sz w:val="40"/>
                <w:szCs w:val="40"/>
              </w:rPr>
              <w:t>Au programme</w:t>
            </w:r>
            <w:r>
              <w:rPr>
                <w:b/>
                <w:i/>
                <w:sz w:val="36"/>
                <w:szCs w:val="36"/>
              </w:rPr>
              <w:t xml:space="preserve"> </w:t>
            </w:r>
            <w:r>
              <w:rPr>
                <w:b/>
                <w:i/>
                <w:sz w:val="36"/>
                <w:szCs w:val="36"/>
              </w:rPr>
              <w:sym w:font="Wingdings 2" w:char="F0DD"/>
            </w:r>
          </w:p>
          <w:p w:rsidR="00436F48" w:rsidRPr="009A53A5" w:rsidRDefault="009A53A5" w:rsidP="009A53A5">
            <w:pPr>
              <w:tabs>
                <w:tab w:val="left" w:pos="3582"/>
              </w:tabs>
              <w:rPr>
                <w:b/>
                <w:i/>
                <w:sz w:val="32"/>
                <w:szCs w:val="32"/>
              </w:rPr>
            </w:pPr>
            <w:r w:rsidRPr="009A53A5">
              <w:rPr>
                <w:b/>
                <w:i/>
                <w:sz w:val="32"/>
                <w:szCs w:val="32"/>
              </w:rPr>
              <w:tab/>
            </w:r>
          </w:p>
          <w:p w:rsidR="00436F48" w:rsidRPr="002B26C7" w:rsidRDefault="00436F48" w:rsidP="00895B41">
            <w:pPr>
              <w:rPr>
                <w:b/>
                <w:i/>
                <w:sz w:val="36"/>
                <w:szCs w:val="36"/>
              </w:rPr>
            </w:pPr>
            <w:r w:rsidRPr="002B26C7">
              <w:rPr>
                <w:b/>
                <w:i/>
                <w:sz w:val="36"/>
                <w:szCs w:val="36"/>
              </w:rPr>
              <w:t>Les besoins des séniors au grand âge</w:t>
            </w:r>
          </w:p>
          <w:p w:rsidR="00436F48" w:rsidRPr="002B26C7" w:rsidRDefault="00436F48" w:rsidP="00895B41">
            <w:pPr>
              <w:rPr>
                <w:b/>
                <w:i/>
                <w:sz w:val="36"/>
                <w:szCs w:val="36"/>
              </w:rPr>
            </w:pPr>
          </w:p>
          <w:p w:rsidR="00436F48" w:rsidRPr="002B26C7" w:rsidRDefault="00436F48" w:rsidP="00895B41">
            <w:pPr>
              <w:rPr>
                <w:b/>
                <w:i/>
                <w:sz w:val="36"/>
                <w:szCs w:val="36"/>
              </w:rPr>
            </w:pPr>
            <w:r w:rsidRPr="002B26C7">
              <w:rPr>
                <w:b/>
                <w:i/>
                <w:sz w:val="36"/>
                <w:szCs w:val="36"/>
              </w:rPr>
              <w:t>La protection juridique</w:t>
            </w:r>
          </w:p>
          <w:p w:rsidR="00436F48" w:rsidRPr="002B26C7" w:rsidRDefault="00436F48" w:rsidP="00895B41">
            <w:pPr>
              <w:rPr>
                <w:b/>
                <w:i/>
                <w:sz w:val="36"/>
                <w:szCs w:val="36"/>
              </w:rPr>
            </w:pPr>
          </w:p>
          <w:p w:rsidR="00436F48" w:rsidRPr="002B26C7" w:rsidRDefault="00436F48" w:rsidP="00895B41">
            <w:pPr>
              <w:rPr>
                <w:b/>
                <w:i/>
                <w:sz w:val="36"/>
                <w:szCs w:val="36"/>
              </w:rPr>
            </w:pPr>
            <w:r w:rsidRPr="002B26C7">
              <w:rPr>
                <w:b/>
                <w:i/>
                <w:sz w:val="36"/>
                <w:szCs w:val="36"/>
              </w:rPr>
              <w:t>Les ressources patrimoniales et assurancielles</w:t>
            </w:r>
          </w:p>
          <w:p w:rsidR="00436F48" w:rsidRPr="002B26C7" w:rsidRDefault="00436F48" w:rsidP="00895B41">
            <w:pPr>
              <w:rPr>
                <w:b/>
                <w:i/>
                <w:sz w:val="36"/>
                <w:szCs w:val="36"/>
              </w:rPr>
            </w:pPr>
          </w:p>
          <w:p w:rsidR="00436F48" w:rsidRPr="002B26C7" w:rsidRDefault="00436F48" w:rsidP="00895B41">
            <w:pPr>
              <w:rPr>
                <w:b/>
                <w:i/>
                <w:sz w:val="36"/>
                <w:szCs w:val="36"/>
              </w:rPr>
            </w:pPr>
            <w:r w:rsidRPr="002B26C7">
              <w:rPr>
                <w:b/>
                <w:i/>
                <w:sz w:val="36"/>
                <w:szCs w:val="36"/>
              </w:rPr>
              <w:t>Le démembrement patrimonial</w:t>
            </w:r>
          </w:p>
          <w:p w:rsidR="00436F48" w:rsidRPr="002B26C7" w:rsidRDefault="00436F48" w:rsidP="00895B41">
            <w:pPr>
              <w:rPr>
                <w:b/>
                <w:i/>
                <w:sz w:val="36"/>
                <w:szCs w:val="36"/>
              </w:rPr>
            </w:pPr>
          </w:p>
          <w:p w:rsidR="00436F48" w:rsidRPr="002B26C7" w:rsidRDefault="0077788D" w:rsidP="00895B41">
            <w:pPr>
              <w:rPr>
                <w:b/>
                <w:i/>
                <w:sz w:val="36"/>
                <w:szCs w:val="36"/>
              </w:rPr>
            </w:pPr>
            <w:r>
              <w:rPr>
                <w:b/>
                <w:i/>
                <w:sz w:val="36"/>
                <w:szCs w:val="36"/>
              </w:rPr>
              <w:t>Questions / Réponses</w:t>
            </w:r>
          </w:p>
          <w:p w:rsidR="009A53A5" w:rsidRPr="00436F48" w:rsidRDefault="009A53A5" w:rsidP="00895B41">
            <w:pPr>
              <w:rPr>
                <w:sz w:val="28"/>
                <w:szCs w:val="28"/>
              </w:rPr>
            </w:pPr>
          </w:p>
        </w:tc>
      </w:tr>
    </w:tbl>
    <w:p w:rsidR="009A53A5" w:rsidRDefault="007F6DA0" w:rsidP="007F6DA0">
      <w:pPr>
        <w:tabs>
          <w:tab w:val="left" w:pos="5996"/>
        </w:tabs>
      </w:pPr>
      <w:r>
        <w:tab/>
      </w:r>
    </w:p>
    <w:p w:rsidR="007F6DA0" w:rsidRPr="007F6DA0" w:rsidRDefault="009A53A5" w:rsidP="007F6DA0">
      <w:pPr>
        <w:pStyle w:val="Titre1"/>
        <w:jc w:val="center"/>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6DA0">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Conférence ouverte à tous</w:t>
      </w:r>
    </w:p>
    <w:p w:rsidR="009A53A5" w:rsidRDefault="009A53A5" w:rsidP="007F6DA0">
      <w:pPr>
        <w:ind w:firstLine="708"/>
      </w:pPr>
    </w:p>
    <w:p w:rsidR="00EC7889" w:rsidRDefault="00EC7889" w:rsidP="00EC7889">
      <w:pPr>
        <w:pStyle w:val="Titre1"/>
        <w:jc w:val="center"/>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5B41">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Comment gérer son indépendance financière</w:t>
      </w:r>
      <w:r w:rsidRPr="00895B41">
        <w:rPr>
          <w:rFonts w:ascii="Lucida Calligraphy" w:hAnsi="Lucida Calligraphy"/>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au grand âge</w:t>
      </w:r>
    </w:p>
    <w:p w:rsidR="00EC7889" w:rsidRPr="005A249A" w:rsidRDefault="00EC7889" w:rsidP="00EC7889">
      <w:pPr>
        <w:jc w:val="both"/>
        <w:rPr>
          <w:rFonts w:cstheme="minorHAnsi"/>
          <w:sz w:val="28"/>
          <w:szCs w:val="28"/>
        </w:rPr>
      </w:pPr>
      <w:r w:rsidRPr="005A249A">
        <w:rPr>
          <w:rFonts w:cstheme="minorHAnsi"/>
          <w:sz w:val="28"/>
          <w:szCs w:val="28"/>
        </w:rPr>
        <w:t>En France, dans le Morbihan, l’allongement de la durée de vie et le nombre de personnes âgées augmentent très rapidement.</w:t>
      </w:r>
    </w:p>
    <w:p w:rsidR="00EC7889" w:rsidRPr="00EC7889" w:rsidRDefault="00EC7889" w:rsidP="00EC7889">
      <w:pPr>
        <w:jc w:val="both"/>
        <w:rPr>
          <w:sz w:val="28"/>
          <w:szCs w:val="28"/>
        </w:rPr>
      </w:pPr>
      <w:r w:rsidRPr="00EC7889">
        <w:rPr>
          <w:sz w:val="28"/>
          <w:szCs w:val="28"/>
        </w:rPr>
        <w:t xml:space="preserve">Par ailleurs, les revenus actuels de la population concernée permettent difficilement de faire face à la prise en charge de la perte d’autonomie et en particulier du maintien à domicile.  </w:t>
      </w:r>
    </w:p>
    <w:p w:rsidR="00EC7889" w:rsidRPr="00EC7889" w:rsidRDefault="00EC7889" w:rsidP="00EC7889">
      <w:pPr>
        <w:jc w:val="both"/>
        <w:rPr>
          <w:sz w:val="28"/>
          <w:szCs w:val="28"/>
        </w:rPr>
      </w:pPr>
      <w:r w:rsidRPr="00EC7889">
        <w:rPr>
          <w:sz w:val="28"/>
          <w:szCs w:val="28"/>
        </w:rPr>
        <w:t xml:space="preserve">Les besoins de revenus des seniors pour assurer le bien vivre lors du grand âge, génèrent une inquiétude sur leur indépendance financière et en particulier des femmes. Les professionnels et les personnes directement concernées s’accordent sur cette inquiétude. C’est pourquoi cette conférence </w:t>
      </w:r>
      <w:r w:rsidR="00E94507" w:rsidRPr="00EC7889">
        <w:rPr>
          <w:sz w:val="28"/>
          <w:szCs w:val="28"/>
        </w:rPr>
        <w:t>a</w:t>
      </w:r>
      <w:bookmarkStart w:id="0" w:name="_GoBack"/>
      <w:bookmarkEnd w:id="0"/>
      <w:r w:rsidRPr="00EC7889">
        <w:rPr>
          <w:sz w:val="28"/>
          <w:szCs w:val="28"/>
        </w:rPr>
        <w:t xml:space="preserve"> pour objectif de donner quelques éléments de réponses.</w:t>
      </w:r>
    </w:p>
    <w:p w:rsidR="00EC7889" w:rsidRPr="00EC7889" w:rsidRDefault="00EC7889" w:rsidP="005A249A">
      <w:pPr>
        <w:tabs>
          <w:tab w:val="left" w:pos="2321"/>
        </w:tabs>
        <w:spacing w:after="0" w:line="240" w:lineRule="auto"/>
        <w:rPr>
          <w:b/>
          <w:sz w:val="28"/>
          <w:szCs w:val="28"/>
        </w:rPr>
      </w:pPr>
      <w:r w:rsidRPr="00EC7889">
        <w:rPr>
          <w:b/>
          <w:sz w:val="32"/>
          <w:szCs w:val="28"/>
        </w:rPr>
        <w:t>Les besoins des seniors au grand âge</w:t>
      </w:r>
    </w:p>
    <w:p w:rsidR="00EC7889" w:rsidRPr="00EC7889" w:rsidRDefault="00EC7889" w:rsidP="00EC7889">
      <w:pPr>
        <w:spacing w:after="0" w:line="240" w:lineRule="auto"/>
        <w:rPr>
          <w:sz w:val="28"/>
          <w:szCs w:val="28"/>
        </w:rPr>
      </w:pPr>
      <w:r w:rsidRPr="00EC7889">
        <w:rPr>
          <w:sz w:val="28"/>
          <w:szCs w:val="28"/>
        </w:rPr>
        <w:t>Etat des lieux sur l’habitat des seniors  et leur besoin</w:t>
      </w:r>
    </w:p>
    <w:p w:rsidR="00EC7889" w:rsidRPr="00EC7889" w:rsidRDefault="00EC7889" w:rsidP="00EC7889">
      <w:pPr>
        <w:spacing w:after="0" w:line="240" w:lineRule="auto"/>
        <w:rPr>
          <w:i/>
          <w:sz w:val="28"/>
          <w:szCs w:val="28"/>
        </w:rPr>
      </w:pPr>
      <w:r w:rsidRPr="00EC7889">
        <w:rPr>
          <w:i/>
          <w:sz w:val="28"/>
          <w:szCs w:val="28"/>
        </w:rPr>
        <w:t xml:space="preserve">Elu - </w:t>
      </w:r>
    </w:p>
    <w:p w:rsidR="00EC7889" w:rsidRPr="00EC7889" w:rsidRDefault="00EC7889" w:rsidP="00EC7889">
      <w:pPr>
        <w:spacing w:after="0" w:line="240" w:lineRule="auto"/>
        <w:rPr>
          <w:i/>
          <w:sz w:val="28"/>
          <w:szCs w:val="28"/>
        </w:rPr>
      </w:pPr>
      <w:r w:rsidRPr="00EC7889">
        <w:rPr>
          <w:i/>
          <w:sz w:val="28"/>
          <w:szCs w:val="28"/>
        </w:rPr>
        <w:t>Elise DEMAY - Directrice - Adil 56 - 02 97 47 02 30</w:t>
      </w:r>
    </w:p>
    <w:p w:rsidR="00EC7889" w:rsidRPr="00EC7889" w:rsidRDefault="00EC7889" w:rsidP="00EC7889">
      <w:pPr>
        <w:spacing w:after="0" w:line="240" w:lineRule="auto"/>
        <w:rPr>
          <w:sz w:val="28"/>
          <w:szCs w:val="28"/>
        </w:rPr>
      </w:pPr>
    </w:p>
    <w:p w:rsidR="00EC7889" w:rsidRPr="00EC7889" w:rsidRDefault="00EC7889" w:rsidP="00EC7889">
      <w:pPr>
        <w:spacing w:after="0" w:line="240" w:lineRule="auto"/>
        <w:rPr>
          <w:b/>
          <w:sz w:val="32"/>
          <w:szCs w:val="28"/>
        </w:rPr>
      </w:pPr>
      <w:r w:rsidRPr="00EC7889">
        <w:rPr>
          <w:b/>
          <w:sz w:val="32"/>
          <w:szCs w:val="28"/>
        </w:rPr>
        <w:t>La protection juridique</w:t>
      </w:r>
    </w:p>
    <w:p w:rsidR="00EC7889" w:rsidRPr="00EC7889" w:rsidRDefault="00EC7889" w:rsidP="00EC7889">
      <w:pPr>
        <w:spacing w:after="0" w:line="240" w:lineRule="auto"/>
        <w:rPr>
          <w:sz w:val="28"/>
          <w:szCs w:val="28"/>
        </w:rPr>
      </w:pPr>
      <w:r w:rsidRPr="00EC7889">
        <w:rPr>
          <w:sz w:val="28"/>
          <w:szCs w:val="28"/>
        </w:rPr>
        <w:t>Succession et principe du démembrement</w:t>
      </w:r>
    </w:p>
    <w:p w:rsidR="00EC7889" w:rsidRPr="00EC7889" w:rsidRDefault="00EC7889" w:rsidP="00EC7889">
      <w:pPr>
        <w:tabs>
          <w:tab w:val="left" w:pos="2730"/>
        </w:tabs>
        <w:rPr>
          <w:sz w:val="28"/>
          <w:szCs w:val="28"/>
        </w:rPr>
      </w:pPr>
      <w:r w:rsidRPr="00EC7889">
        <w:rPr>
          <w:sz w:val="28"/>
          <w:szCs w:val="28"/>
        </w:rPr>
        <w:t>Notaire</w:t>
      </w:r>
      <w:r>
        <w:rPr>
          <w:sz w:val="28"/>
          <w:szCs w:val="28"/>
        </w:rPr>
        <w:tab/>
      </w:r>
    </w:p>
    <w:p w:rsidR="00EC7889" w:rsidRPr="00EC7889" w:rsidRDefault="00EC7889" w:rsidP="00EC7889">
      <w:pPr>
        <w:tabs>
          <w:tab w:val="left" w:pos="5867"/>
        </w:tabs>
        <w:spacing w:after="0" w:line="240" w:lineRule="auto"/>
        <w:rPr>
          <w:b/>
          <w:sz w:val="32"/>
          <w:szCs w:val="28"/>
        </w:rPr>
      </w:pPr>
      <w:r w:rsidRPr="00EC7889">
        <w:rPr>
          <w:b/>
          <w:sz w:val="32"/>
          <w:szCs w:val="28"/>
        </w:rPr>
        <w:t>Les ressources patrimoniales et assurancielles</w:t>
      </w:r>
      <w:r w:rsidRPr="00EC7889">
        <w:rPr>
          <w:b/>
          <w:sz w:val="32"/>
          <w:szCs w:val="28"/>
        </w:rPr>
        <w:tab/>
      </w:r>
    </w:p>
    <w:p w:rsidR="00EC7889" w:rsidRPr="00EC7889" w:rsidRDefault="00EC7889" w:rsidP="00EC7889">
      <w:pPr>
        <w:tabs>
          <w:tab w:val="left" w:pos="3976"/>
        </w:tabs>
        <w:spacing w:after="0" w:line="240" w:lineRule="auto"/>
        <w:rPr>
          <w:sz w:val="28"/>
          <w:szCs w:val="28"/>
        </w:rPr>
      </w:pPr>
      <w:r w:rsidRPr="00EC7889">
        <w:rPr>
          <w:sz w:val="28"/>
          <w:szCs w:val="28"/>
        </w:rPr>
        <w:t xml:space="preserve">Le démembrement financier </w:t>
      </w:r>
      <w:r>
        <w:rPr>
          <w:sz w:val="28"/>
          <w:szCs w:val="28"/>
        </w:rPr>
        <w:tab/>
      </w:r>
    </w:p>
    <w:p w:rsidR="00EC7889" w:rsidRPr="00EC7889" w:rsidRDefault="00EC7889" w:rsidP="00EC7889">
      <w:pPr>
        <w:rPr>
          <w:sz w:val="28"/>
          <w:szCs w:val="24"/>
        </w:rPr>
      </w:pPr>
      <w:r w:rsidRPr="00EC7889">
        <w:rPr>
          <w:sz w:val="28"/>
          <w:szCs w:val="24"/>
        </w:rPr>
        <w:t xml:space="preserve">Magalie Joubert </w:t>
      </w:r>
      <w:r w:rsidR="005A249A">
        <w:rPr>
          <w:sz w:val="28"/>
          <w:szCs w:val="24"/>
        </w:rPr>
        <w:t xml:space="preserve"> </w:t>
      </w:r>
      <w:r w:rsidRPr="00EC7889">
        <w:rPr>
          <w:sz w:val="28"/>
          <w:szCs w:val="24"/>
        </w:rPr>
        <w:t>– Cons</w:t>
      </w:r>
      <w:r>
        <w:rPr>
          <w:sz w:val="28"/>
          <w:szCs w:val="24"/>
        </w:rPr>
        <w:t xml:space="preserve">eil en gestion de patrimoine - </w:t>
      </w:r>
      <w:r w:rsidRPr="00EC7889">
        <w:rPr>
          <w:sz w:val="28"/>
          <w:szCs w:val="24"/>
        </w:rPr>
        <w:t xml:space="preserve">ALLIANZ - </w:t>
      </w:r>
      <w:r w:rsidRPr="00EC7889">
        <w:rPr>
          <w:i/>
          <w:sz w:val="28"/>
          <w:szCs w:val="24"/>
        </w:rPr>
        <w:t>06 26 55 22 52</w:t>
      </w:r>
    </w:p>
    <w:p w:rsidR="00EC7889" w:rsidRPr="00EC7889" w:rsidRDefault="00EC7889" w:rsidP="00EC7889">
      <w:pPr>
        <w:spacing w:after="0" w:line="240" w:lineRule="auto"/>
        <w:rPr>
          <w:b/>
          <w:sz w:val="32"/>
          <w:szCs w:val="28"/>
        </w:rPr>
      </w:pPr>
      <w:r w:rsidRPr="00EC7889">
        <w:rPr>
          <w:b/>
          <w:sz w:val="32"/>
          <w:szCs w:val="28"/>
        </w:rPr>
        <w:t>Le démembrement patrimonial</w:t>
      </w:r>
    </w:p>
    <w:p w:rsidR="00EC7889" w:rsidRPr="00EC7889" w:rsidRDefault="00EC7889" w:rsidP="00EC7889">
      <w:pPr>
        <w:rPr>
          <w:sz w:val="28"/>
          <w:szCs w:val="28"/>
        </w:rPr>
      </w:pPr>
      <w:r w:rsidRPr="00EC7889">
        <w:rPr>
          <w:sz w:val="28"/>
          <w:szCs w:val="28"/>
        </w:rPr>
        <w:t xml:space="preserve">Les rentes viagères – Isabelle DURAND – Consultante en solutions viagères – VIAGER CONSULTING GROUP : </w:t>
      </w:r>
      <w:r w:rsidRPr="00EC7889">
        <w:rPr>
          <w:i/>
          <w:sz w:val="28"/>
          <w:szCs w:val="28"/>
        </w:rPr>
        <w:t>06 81 37 90 09</w:t>
      </w:r>
    </w:p>
    <w:p w:rsidR="00EC7889" w:rsidRDefault="00EC7889" w:rsidP="00A56652">
      <w:pPr>
        <w:rPr>
          <w:b/>
          <w:sz w:val="32"/>
          <w:szCs w:val="28"/>
        </w:rPr>
      </w:pPr>
      <w:r w:rsidRPr="00EC7889">
        <w:rPr>
          <w:b/>
          <w:sz w:val="32"/>
          <w:szCs w:val="28"/>
        </w:rPr>
        <w:t>Débat et questions ouvertes</w:t>
      </w:r>
    </w:p>
    <w:p w:rsidR="00A56652" w:rsidRPr="007F6DA0" w:rsidRDefault="00A56652" w:rsidP="00A56652"/>
    <w:sectPr w:rsidR="00A56652" w:rsidRPr="007F6DA0" w:rsidSect="00EC788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8C" w:rsidRDefault="00702C8C" w:rsidP="00E154CA">
      <w:pPr>
        <w:spacing w:after="0" w:line="240" w:lineRule="auto"/>
      </w:pPr>
      <w:r>
        <w:separator/>
      </w:r>
    </w:p>
  </w:endnote>
  <w:endnote w:type="continuationSeparator" w:id="0">
    <w:p w:rsidR="00702C8C" w:rsidRDefault="00702C8C" w:rsidP="00E1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EE" w:rsidRPr="005072BA" w:rsidRDefault="003D4AEE" w:rsidP="005072BA">
    <w:pPr>
      <w:pStyle w:val="Pieddepage"/>
      <w:pBdr>
        <w:top w:val="double" w:sz="20" w:space="5" w:color="800000"/>
      </w:pBdr>
      <w:spacing w:before="100" w:beforeAutospacing="1"/>
      <w:jc w:val="center"/>
      <w:rPr>
        <w:rStyle w:val="lev"/>
      </w:rPr>
    </w:pPr>
    <w:r w:rsidRPr="005072BA">
      <w:rPr>
        <w:rStyle w:val="lev"/>
      </w:rPr>
      <w:t>A.N.R. du Morbihan -  B.P. 10039 – 56 860 S</w:t>
    </w:r>
    <w:r w:rsidR="00A9317F" w:rsidRPr="005072BA">
      <w:rPr>
        <w:rStyle w:val="lev"/>
      </w:rPr>
      <w:t>É</w:t>
    </w:r>
    <w:r w:rsidRPr="005072BA">
      <w:rPr>
        <w:rStyle w:val="lev"/>
      </w:rPr>
      <w:t>N</w:t>
    </w:r>
    <w:r w:rsidR="00A9317F" w:rsidRPr="005072BA">
      <w:rPr>
        <w:rStyle w:val="lev"/>
      </w:rPr>
      <w:t>É</w:t>
    </w:r>
  </w:p>
  <w:p w:rsidR="00E154CA" w:rsidRPr="005072BA" w:rsidRDefault="00401596" w:rsidP="005072BA">
    <w:pPr>
      <w:pStyle w:val="Pieddepage"/>
      <w:pBdr>
        <w:top w:val="double" w:sz="20" w:space="5" w:color="800000"/>
      </w:pBdr>
      <w:jc w:val="center"/>
      <w:rPr>
        <w:rStyle w:val="lev"/>
      </w:rPr>
    </w:pPr>
    <w:proofErr w:type="gramStart"/>
    <w:r w:rsidRPr="005072BA">
      <w:rPr>
        <w:rStyle w:val="lev"/>
      </w:rPr>
      <w:t>tél</w:t>
    </w:r>
    <w:proofErr w:type="gramEnd"/>
    <w:r w:rsidR="003D4AEE" w:rsidRPr="005072BA">
      <w:rPr>
        <w:rStyle w:val="lev"/>
      </w:rPr>
      <w:t> : 02 97 66 08 73</w:t>
    </w:r>
    <w:r w:rsidR="00A9317F" w:rsidRPr="005072BA">
      <w:rPr>
        <w:rStyle w:val="lev"/>
      </w:rPr>
      <w:t xml:space="preserve"> - e</w:t>
    </w:r>
    <w:r w:rsidR="003D4AEE" w:rsidRPr="005072BA">
      <w:rPr>
        <w:rStyle w:val="lev"/>
      </w:rPr>
      <w:t>-</w:t>
    </w:r>
    <w:r w:rsidR="00A9317F" w:rsidRPr="005072BA">
      <w:rPr>
        <w:rStyle w:val="lev"/>
      </w:rPr>
      <w:t>m</w:t>
    </w:r>
    <w:r w:rsidR="003D4AEE" w:rsidRPr="005072BA">
      <w:rPr>
        <w:rStyle w:val="lev"/>
      </w:rPr>
      <w:t xml:space="preserve">ail : </w:t>
    </w:r>
    <w:hyperlink r:id="rId1" w:history="1">
      <w:r w:rsidR="003D4AEE" w:rsidRPr="005072BA">
        <w:rPr>
          <w:rStyle w:val="lev"/>
        </w:rPr>
        <w:t>anrptt56@orange.fr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8C" w:rsidRDefault="00702C8C" w:rsidP="00E154CA">
      <w:pPr>
        <w:spacing w:after="0" w:line="240" w:lineRule="auto"/>
      </w:pPr>
      <w:r>
        <w:separator/>
      </w:r>
    </w:p>
  </w:footnote>
  <w:footnote w:type="continuationSeparator" w:id="0">
    <w:p w:rsidR="00702C8C" w:rsidRDefault="00702C8C" w:rsidP="00E1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CA" w:rsidRPr="005072BA" w:rsidRDefault="00E154CA">
    <w:pPr>
      <w:pStyle w:val="En-tte"/>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3"/>
      <w:gridCol w:w="7417"/>
    </w:tblGrid>
    <w:tr w:rsidR="00E154CA" w:rsidRPr="00E154CA" w:rsidTr="001D5EB2">
      <w:trPr>
        <w:trHeight w:val="1263"/>
      </w:trPr>
      <w:tc>
        <w:tcPr>
          <w:tcW w:w="1703" w:type="dxa"/>
          <w:tcBorders>
            <w:top w:val="single" w:sz="8" w:space="0" w:color="808080"/>
            <w:left w:val="single" w:sz="8" w:space="0" w:color="808080"/>
            <w:bottom w:val="single" w:sz="8" w:space="0" w:color="808080"/>
          </w:tcBorders>
          <w:shd w:val="clear" w:color="auto" w:fill="auto"/>
        </w:tcPr>
        <w:p w:rsidR="00E154CA" w:rsidRPr="00E154CA" w:rsidRDefault="00C91279" w:rsidP="00E154CA">
          <w:pPr>
            <w:pStyle w:val="En-tte"/>
            <w:snapToGrid w:val="0"/>
            <w:jc w:val="center"/>
            <w:rPr>
              <w:rFonts w:ascii="Arial" w:eastAsia="Calibri" w:hAnsi="Arial" w:cs="Arial"/>
              <w:b/>
              <w:bCs/>
              <w:color w:val="0000FF"/>
              <w:sz w:val="16"/>
              <w:highlight w:val="yellow"/>
            </w:rPr>
          </w:pPr>
          <w:r>
            <w:rPr>
              <w:noProof/>
            </w:rPr>
            <w:drawing>
              <wp:anchor distT="0" distB="0" distL="114300" distR="114300" simplePos="0" relativeHeight="251657728" behindDoc="1" locked="0" layoutInCell="1" allowOverlap="1" wp14:anchorId="5C19F9D8" wp14:editId="6B92CBCD">
                <wp:simplePos x="0" y="0"/>
                <wp:positionH relativeFrom="column">
                  <wp:align>center</wp:align>
                </wp:positionH>
                <wp:positionV relativeFrom="paragraph">
                  <wp:posOffset>86360</wp:posOffset>
                </wp:positionV>
                <wp:extent cx="932180" cy="853440"/>
                <wp:effectExtent l="0" t="0" r="1270" b="3810"/>
                <wp:wrapTight wrapText="bothSides">
                  <wp:wrapPolygon edited="0">
                    <wp:start x="6621" y="0"/>
                    <wp:lineTo x="3973" y="1929"/>
                    <wp:lineTo x="441" y="6268"/>
                    <wp:lineTo x="0" y="14464"/>
                    <wp:lineTo x="0" y="16393"/>
                    <wp:lineTo x="7946" y="21214"/>
                    <wp:lineTo x="11918" y="21214"/>
                    <wp:lineTo x="18540" y="16875"/>
                    <wp:lineTo x="18540" y="15911"/>
                    <wp:lineTo x="21188" y="13018"/>
                    <wp:lineTo x="21188" y="11571"/>
                    <wp:lineTo x="20305" y="7232"/>
                    <wp:lineTo x="15450" y="1446"/>
                    <wp:lineTo x="13243" y="0"/>
                    <wp:lineTo x="6621" y="0"/>
                  </wp:wrapPolygon>
                </wp:wrapTight>
                <wp:docPr id="1" name="Image 2" descr="log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17" w:type="dxa"/>
          <w:tcBorders>
            <w:top w:val="single" w:sz="8" w:space="0" w:color="808080"/>
            <w:left w:val="single" w:sz="8" w:space="0" w:color="808080"/>
            <w:bottom w:val="single" w:sz="8" w:space="0" w:color="808080"/>
            <w:right w:val="single" w:sz="8" w:space="0" w:color="808080"/>
          </w:tcBorders>
          <w:shd w:val="clear" w:color="auto" w:fill="auto"/>
          <w:vAlign w:val="center"/>
        </w:tcPr>
        <w:p w:rsidR="00E154CA" w:rsidRPr="00D850E7" w:rsidRDefault="00E154CA" w:rsidP="00E154CA">
          <w:pPr>
            <w:pStyle w:val="En-tte"/>
            <w:snapToGrid w:val="0"/>
            <w:jc w:val="center"/>
            <w:rPr>
              <w:rFonts w:eastAsia="Calibri" w:cs="Calibri"/>
              <w:b/>
              <w:bCs/>
              <w:color w:val="0000FF"/>
              <w:sz w:val="24"/>
              <w:szCs w:val="24"/>
            </w:rPr>
          </w:pPr>
        </w:p>
        <w:p w:rsidR="00E154CA" w:rsidRPr="00D850E7" w:rsidRDefault="00E154CA" w:rsidP="00E154CA">
          <w:pPr>
            <w:pStyle w:val="En-tte"/>
            <w:jc w:val="center"/>
            <w:rPr>
              <w:rFonts w:eastAsia="Calibri" w:cs="Calibri"/>
              <w:color w:val="000080"/>
              <w:sz w:val="24"/>
              <w:szCs w:val="24"/>
            </w:rPr>
          </w:pPr>
          <w:r w:rsidRPr="00D850E7">
            <w:rPr>
              <w:rFonts w:eastAsia="Calibri" w:cs="Calibri"/>
              <w:b/>
              <w:bCs/>
              <w:color w:val="000080"/>
              <w:sz w:val="24"/>
              <w:szCs w:val="24"/>
            </w:rPr>
            <w:t>A</w:t>
          </w:r>
          <w:r w:rsidRPr="00D850E7">
            <w:rPr>
              <w:rFonts w:eastAsia="Calibri" w:cs="Calibri"/>
              <w:color w:val="000080"/>
              <w:sz w:val="24"/>
              <w:szCs w:val="24"/>
            </w:rPr>
            <w:t xml:space="preserve">ssociation </w:t>
          </w:r>
          <w:r w:rsidRPr="00D850E7">
            <w:rPr>
              <w:rFonts w:eastAsia="Calibri" w:cs="Calibri"/>
              <w:b/>
              <w:bCs/>
              <w:color w:val="000080"/>
              <w:sz w:val="24"/>
              <w:szCs w:val="24"/>
            </w:rPr>
            <w:t>N</w:t>
          </w:r>
          <w:r w:rsidRPr="00D850E7">
            <w:rPr>
              <w:rFonts w:eastAsia="Calibri" w:cs="Calibri"/>
              <w:color w:val="000080"/>
              <w:sz w:val="24"/>
              <w:szCs w:val="24"/>
            </w:rPr>
            <w:t xml:space="preserve">ationale de </w:t>
          </w:r>
          <w:r w:rsidRPr="00D850E7">
            <w:rPr>
              <w:rFonts w:eastAsia="Calibri" w:cs="Calibri"/>
              <w:b/>
              <w:bCs/>
              <w:color w:val="000080"/>
              <w:sz w:val="24"/>
              <w:szCs w:val="24"/>
            </w:rPr>
            <w:t>R</w:t>
          </w:r>
          <w:r w:rsidRPr="00D850E7">
            <w:rPr>
              <w:rFonts w:eastAsia="Calibri" w:cs="Calibri"/>
              <w:color w:val="000080"/>
              <w:sz w:val="24"/>
              <w:szCs w:val="24"/>
            </w:rPr>
            <w:t>etraités</w:t>
          </w:r>
        </w:p>
        <w:p w:rsidR="00E154CA" w:rsidRPr="00D850E7" w:rsidRDefault="00E154CA" w:rsidP="00E154CA">
          <w:pPr>
            <w:pStyle w:val="En-tte"/>
            <w:jc w:val="center"/>
            <w:rPr>
              <w:rFonts w:eastAsia="Calibri" w:cs="Calibri"/>
              <w:color w:val="000080"/>
              <w:sz w:val="24"/>
              <w:szCs w:val="24"/>
            </w:rPr>
          </w:pPr>
        </w:p>
        <w:p w:rsidR="00E154CA" w:rsidRPr="00E154CA" w:rsidRDefault="00E154CA" w:rsidP="00E154CA">
          <w:pPr>
            <w:jc w:val="center"/>
            <w:rPr>
              <w:rFonts w:ascii="Arial" w:eastAsia="Calibri" w:hAnsi="Arial" w:cs="Arial"/>
              <w:b/>
              <w:bCs/>
              <w:color w:val="000080"/>
              <w:szCs w:val="28"/>
            </w:rPr>
          </w:pPr>
          <w:r w:rsidRPr="00D850E7">
            <w:rPr>
              <w:rFonts w:eastAsia="Calibri" w:cs="Calibri"/>
              <w:b/>
              <w:bCs/>
              <w:color w:val="000080"/>
              <w:sz w:val="24"/>
              <w:szCs w:val="24"/>
            </w:rPr>
            <w:t>« Groupe du Morbihan »</w:t>
          </w:r>
        </w:p>
      </w:tc>
    </w:tr>
  </w:tbl>
  <w:p w:rsidR="005072BA" w:rsidRPr="005072BA" w:rsidRDefault="005072BA" w:rsidP="003B7E5B">
    <w:pPr>
      <w:pStyle w:val="En-tt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279"/>
    <w:rsid w:val="000D212A"/>
    <w:rsid w:val="001D5EB2"/>
    <w:rsid w:val="00297982"/>
    <w:rsid w:val="002B26C7"/>
    <w:rsid w:val="0033446D"/>
    <w:rsid w:val="0033700E"/>
    <w:rsid w:val="003B7E5B"/>
    <w:rsid w:val="003D4AEE"/>
    <w:rsid w:val="00401596"/>
    <w:rsid w:val="00436F48"/>
    <w:rsid w:val="005072BA"/>
    <w:rsid w:val="005236DB"/>
    <w:rsid w:val="005A249A"/>
    <w:rsid w:val="00702C8C"/>
    <w:rsid w:val="0073283C"/>
    <w:rsid w:val="0077788D"/>
    <w:rsid w:val="00790061"/>
    <w:rsid w:val="007F6DA0"/>
    <w:rsid w:val="00895B41"/>
    <w:rsid w:val="008D4E51"/>
    <w:rsid w:val="009066E7"/>
    <w:rsid w:val="00930F5F"/>
    <w:rsid w:val="00962A17"/>
    <w:rsid w:val="009A53A5"/>
    <w:rsid w:val="009A7CC9"/>
    <w:rsid w:val="00A56652"/>
    <w:rsid w:val="00A9317F"/>
    <w:rsid w:val="00B362E2"/>
    <w:rsid w:val="00C37E8F"/>
    <w:rsid w:val="00C91279"/>
    <w:rsid w:val="00CC4FC8"/>
    <w:rsid w:val="00CF5A0A"/>
    <w:rsid w:val="00D3730C"/>
    <w:rsid w:val="00D45558"/>
    <w:rsid w:val="00D82005"/>
    <w:rsid w:val="00D82B24"/>
    <w:rsid w:val="00D850E7"/>
    <w:rsid w:val="00DE7C00"/>
    <w:rsid w:val="00E154CA"/>
    <w:rsid w:val="00E94507"/>
    <w:rsid w:val="00EC7889"/>
    <w:rsid w:val="00F21B69"/>
    <w:rsid w:val="00FF0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C7A01-48FE-4048-A82C-30B27D6B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E8F"/>
  </w:style>
  <w:style w:type="paragraph" w:styleId="Titre1">
    <w:name w:val="heading 1"/>
    <w:basedOn w:val="Normal"/>
    <w:next w:val="Normal"/>
    <w:link w:val="Titre1Car"/>
    <w:uiPriority w:val="9"/>
    <w:qFormat/>
    <w:rsid w:val="00C37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7E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37E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37E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37E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37E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37E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37E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C37E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154CA"/>
    <w:pPr>
      <w:tabs>
        <w:tab w:val="center" w:pos="4536"/>
        <w:tab w:val="right" w:pos="9072"/>
      </w:tabs>
      <w:spacing w:after="0" w:line="240" w:lineRule="auto"/>
    </w:pPr>
  </w:style>
  <w:style w:type="character" w:customStyle="1" w:styleId="En-tteCar">
    <w:name w:val="En-tête Car"/>
    <w:basedOn w:val="Policepardfaut"/>
    <w:link w:val="En-tte"/>
    <w:uiPriority w:val="99"/>
    <w:rsid w:val="00E154CA"/>
  </w:style>
  <w:style w:type="paragraph" w:styleId="Pieddepage">
    <w:name w:val="footer"/>
    <w:basedOn w:val="Normal"/>
    <w:link w:val="PieddepageCar"/>
    <w:uiPriority w:val="99"/>
    <w:unhideWhenUsed/>
    <w:rsid w:val="00E154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54CA"/>
  </w:style>
  <w:style w:type="character" w:styleId="Lienhypertexte">
    <w:name w:val="Hyperlink"/>
    <w:rsid w:val="003D4AEE"/>
    <w:rPr>
      <w:color w:val="0000FF"/>
      <w:u w:val="single"/>
    </w:rPr>
  </w:style>
  <w:style w:type="character" w:styleId="lev">
    <w:name w:val="Strong"/>
    <w:basedOn w:val="Policepardfaut"/>
    <w:uiPriority w:val="22"/>
    <w:qFormat/>
    <w:rsid w:val="00C37E8F"/>
    <w:rPr>
      <w:b/>
      <w:bCs/>
    </w:rPr>
  </w:style>
  <w:style w:type="character" w:customStyle="1" w:styleId="Titre1Car">
    <w:name w:val="Titre 1 Car"/>
    <w:basedOn w:val="Policepardfaut"/>
    <w:link w:val="Titre1"/>
    <w:uiPriority w:val="9"/>
    <w:rsid w:val="00C37E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37E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37E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37E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37E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37E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37E8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37E8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C37E8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C37E8F"/>
    <w:pPr>
      <w:spacing w:line="240" w:lineRule="auto"/>
    </w:pPr>
    <w:rPr>
      <w:b/>
      <w:bCs/>
      <w:color w:val="4F81BD" w:themeColor="accent1"/>
      <w:sz w:val="18"/>
      <w:szCs w:val="18"/>
    </w:rPr>
  </w:style>
  <w:style w:type="paragraph" w:styleId="Titre">
    <w:name w:val="Title"/>
    <w:basedOn w:val="Normal"/>
    <w:next w:val="Normal"/>
    <w:link w:val="TitreCar"/>
    <w:uiPriority w:val="10"/>
    <w:qFormat/>
    <w:rsid w:val="00C37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37E8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37E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37E8F"/>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C37E8F"/>
    <w:rPr>
      <w:i/>
      <w:iCs/>
    </w:rPr>
  </w:style>
  <w:style w:type="paragraph" w:styleId="Sansinterligne">
    <w:name w:val="No Spacing"/>
    <w:link w:val="SansinterligneCar"/>
    <w:uiPriority w:val="1"/>
    <w:qFormat/>
    <w:rsid w:val="00C37E8F"/>
    <w:pPr>
      <w:spacing w:after="0" w:line="240" w:lineRule="auto"/>
    </w:pPr>
  </w:style>
  <w:style w:type="paragraph" w:styleId="Citation">
    <w:name w:val="Quote"/>
    <w:basedOn w:val="Normal"/>
    <w:next w:val="Normal"/>
    <w:link w:val="CitationCar"/>
    <w:uiPriority w:val="29"/>
    <w:qFormat/>
    <w:rsid w:val="00C37E8F"/>
    <w:rPr>
      <w:i/>
      <w:iCs/>
      <w:color w:val="000000" w:themeColor="text1"/>
    </w:rPr>
  </w:style>
  <w:style w:type="character" w:customStyle="1" w:styleId="CitationCar">
    <w:name w:val="Citation Car"/>
    <w:basedOn w:val="Policepardfaut"/>
    <w:link w:val="Citation"/>
    <w:uiPriority w:val="29"/>
    <w:rsid w:val="00C37E8F"/>
    <w:rPr>
      <w:i/>
      <w:iCs/>
      <w:color w:val="000000" w:themeColor="text1"/>
    </w:rPr>
  </w:style>
  <w:style w:type="paragraph" w:styleId="Citationintense">
    <w:name w:val="Intense Quote"/>
    <w:basedOn w:val="Normal"/>
    <w:next w:val="Normal"/>
    <w:link w:val="CitationintenseCar"/>
    <w:uiPriority w:val="30"/>
    <w:qFormat/>
    <w:rsid w:val="00C37E8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37E8F"/>
    <w:rPr>
      <w:b/>
      <w:bCs/>
      <w:i/>
      <w:iCs/>
      <w:color w:val="4F81BD" w:themeColor="accent1"/>
    </w:rPr>
  </w:style>
  <w:style w:type="character" w:styleId="Accentuationlgre">
    <w:name w:val="Subtle Emphasis"/>
    <w:basedOn w:val="Policepardfaut"/>
    <w:uiPriority w:val="19"/>
    <w:qFormat/>
    <w:rsid w:val="00C37E8F"/>
    <w:rPr>
      <w:i/>
      <w:iCs/>
      <w:color w:val="808080" w:themeColor="text1" w:themeTint="7F"/>
    </w:rPr>
  </w:style>
  <w:style w:type="character" w:styleId="Accentuationintense">
    <w:name w:val="Intense Emphasis"/>
    <w:basedOn w:val="Policepardfaut"/>
    <w:uiPriority w:val="21"/>
    <w:qFormat/>
    <w:rsid w:val="00C37E8F"/>
    <w:rPr>
      <w:b/>
      <w:bCs/>
      <w:i/>
      <w:iCs/>
      <w:color w:val="4F81BD" w:themeColor="accent1"/>
    </w:rPr>
  </w:style>
  <w:style w:type="character" w:styleId="Rfrencelgre">
    <w:name w:val="Subtle Reference"/>
    <w:basedOn w:val="Policepardfaut"/>
    <w:uiPriority w:val="31"/>
    <w:qFormat/>
    <w:rsid w:val="00C37E8F"/>
    <w:rPr>
      <w:smallCaps/>
      <w:color w:val="C0504D" w:themeColor="accent2"/>
      <w:u w:val="single"/>
    </w:rPr>
  </w:style>
  <w:style w:type="character" w:styleId="Rfrenceintense">
    <w:name w:val="Intense Reference"/>
    <w:basedOn w:val="Policepardfaut"/>
    <w:uiPriority w:val="32"/>
    <w:qFormat/>
    <w:rsid w:val="00C37E8F"/>
    <w:rPr>
      <w:b/>
      <w:bCs/>
      <w:smallCaps/>
      <w:color w:val="C0504D" w:themeColor="accent2"/>
      <w:spacing w:val="5"/>
      <w:u w:val="single"/>
    </w:rPr>
  </w:style>
  <w:style w:type="character" w:styleId="Titredulivre">
    <w:name w:val="Book Title"/>
    <w:basedOn w:val="Policepardfaut"/>
    <w:uiPriority w:val="33"/>
    <w:qFormat/>
    <w:rsid w:val="00C37E8F"/>
    <w:rPr>
      <w:b/>
      <w:bCs/>
      <w:smallCaps/>
      <w:spacing w:val="5"/>
    </w:rPr>
  </w:style>
  <w:style w:type="paragraph" w:styleId="En-ttedetabledesmatires">
    <w:name w:val="TOC Heading"/>
    <w:basedOn w:val="Titre1"/>
    <w:next w:val="Normal"/>
    <w:uiPriority w:val="39"/>
    <w:semiHidden/>
    <w:unhideWhenUsed/>
    <w:qFormat/>
    <w:rsid w:val="00C37E8F"/>
    <w:pPr>
      <w:outlineLvl w:val="9"/>
    </w:pPr>
  </w:style>
  <w:style w:type="paragraph" w:styleId="Textedebulles">
    <w:name w:val="Balloon Text"/>
    <w:basedOn w:val="Normal"/>
    <w:link w:val="TextedebullesCar"/>
    <w:uiPriority w:val="99"/>
    <w:semiHidden/>
    <w:unhideWhenUsed/>
    <w:rsid w:val="00C37E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E8F"/>
    <w:rPr>
      <w:rFonts w:ascii="Tahoma" w:hAnsi="Tahoma" w:cs="Tahoma"/>
      <w:sz w:val="16"/>
      <w:szCs w:val="16"/>
    </w:rPr>
  </w:style>
  <w:style w:type="character" w:customStyle="1" w:styleId="SansinterligneCar">
    <w:name w:val="Sans interligne Car"/>
    <w:basedOn w:val="Policepardfaut"/>
    <w:link w:val="Sansinterligne"/>
    <w:uiPriority w:val="1"/>
    <w:rsid w:val="00C37E8F"/>
  </w:style>
  <w:style w:type="paragraph" w:styleId="Paragraphedeliste">
    <w:name w:val="List Paragraph"/>
    <w:basedOn w:val="Normal"/>
    <w:uiPriority w:val="34"/>
    <w:qFormat/>
    <w:rsid w:val="00C37E8F"/>
    <w:pPr>
      <w:ind w:left="720"/>
      <w:contextualSpacing/>
    </w:pPr>
  </w:style>
  <w:style w:type="table" w:styleId="Grilledutableau">
    <w:name w:val="Table Grid"/>
    <w:basedOn w:val="TableauNormal"/>
    <w:uiPriority w:val="39"/>
    <w:rsid w:val="0089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A53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rptt56@oran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O\A%20N%20R\mod&#232;le%20pour%20courrier%20ANR%205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pour courrier ANR 56.dot</Template>
  <TotalTime>78</TotalTime>
  <Pages>2</Pages>
  <Words>269</Words>
  <Characters>1483</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Comment gérer son indépendance financière au grand âge</vt:lpstr>
      <vt:lpstr>Conférence ouverte à tous</vt:lpstr>
      <vt:lpstr>Comment gérer son indépendance financière au grand âge</vt:lpstr>
    </vt:vector>
  </TitlesOfParts>
  <Company/>
  <LinksUpToDate>false</LinksUpToDate>
  <CharactersWithSpaces>1749</CharactersWithSpaces>
  <SharedDoc>false</SharedDoc>
  <HLinks>
    <vt:vector size="6" baseType="variant">
      <vt:variant>
        <vt:i4>7274577</vt:i4>
      </vt:variant>
      <vt:variant>
        <vt:i4>0</vt:i4>
      </vt:variant>
      <vt:variant>
        <vt:i4>0</vt:i4>
      </vt:variant>
      <vt:variant>
        <vt:i4>5</vt:i4>
      </vt:variant>
      <vt:variant>
        <vt:lpwstr>mailto:anrptt56@orange.fr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DANIEL HERICHER</cp:lastModifiedBy>
  <cp:revision>16</cp:revision>
  <dcterms:created xsi:type="dcterms:W3CDTF">2018-10-07T13:00:00Z</dcterms:created>
  <dcterms:modified xsi:type="dcterms:W3CDTF">2018-11-05T14:38:00Z</dcterms:modified>
</cp:coreProperties>
</file>